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6E" w:rsidRPr="00215BDE" w:rsidRDefault="00A330E9">
      <w:pPr>
        <w:rPr>
          <w:rFonts w:ascii="Times New Roman" w:hAnsi="Times New Roman" w:cs="Times New Roman"/>
          <w:b/>
          <w:sz w:val="24"/>
          <w:szCs w:val="24"/>
        </w:rPr>
      </w:pPr>
      <w:r w:rsidRPr="00215BDE">
        <w:rPr>
          <w:rFonts w:ascii="Times New Roman" w:hAnsi="Times New Roman" w:cs="Times New Roman"/>
          <w:b/>
          <w:sz w:val="24"/>
          <w:szCs w:val="24"/>
        </w:rPr>
        <w:t xml:space="preserve">Results </w:t>
      </w:r>
      <w:r w:rsidR="002B23FC" w:rsidRPr="00215BDE">
        <w:rPr>
          <w:rFonts w:ascii="Times New Roman" w:hAnsi="Times New Roman" w:cs="Times New Roman"/>
          <w:b/>
          <w:sz w:val="24"/>
          <w:szCs w:val="24"/>
        </w:rPr>
        <w:t>for</w:t>
      </w:r>
      <w:r w:rsidRPr="00215B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15BDE">
        <w:rPr>
          <w:rFonts w:ascii="Times New Roman" w:hAnsi="Times New Roman" w:cs="Times New Roman"/>
          <w:b/>
          <w:sz w:val="24"/>
          <w:szCs w:val="24"/>
        </w:rPr>
        <w:t>sacB</w:t>
      </w:r>
      <w:proofErr w:type="spellEnd"/>
      <w:r w:rsidRPr="00215BDE">
        <w:rPr>
          <w:rFonts w:ascii="Times New Roman" w:hAnsi="Times New Roman" w:cs="Times New Roman"/>
          <w:b/>
          <w:sz w:val="24"/>
          <w:szCs w:val="24"/>
        </w:rPr>
        <w:t xml:space="preserve"> assay.</w:t>
      </w:r>
      <w:bookmarkStart w:id="0" w:name="_GoBack"/>
      <w:bookmarkEnd w:id="0"/>
    </w:p>
    <w:p w:rsidR="00A330E9" w:rsidRDefault="00A330E9"/>
    <w:tbl>
      <w:tblPr>
        <w:tblW w:w="5240" w:type="pct"/>
        <w:tblLayout w:type="fixed"/>
        <w:tblLook w:val="04A0" w:firstRow="1" w:lastRow="0" w:firstColumn="1" w:lastColumn="0" w:noHBand="0" w:noVBand="1"/>
      </w:tblPr>
      <w:tblGrid>
        <w:gridCol w:w="1734"/>
        <w:gridCol w:w="1597"/>
        <w:gridCol w:w="1103"/>
        <w:gridCol w:w="991"/>
        <w:gridCol w:w="1208"/>
        <w:gridCol w:w="1022"/>
        <w:gridCol w:w="1063"/>
        <w:gridCol w:w="1091"/>
      </w:tblGrid>
      <w:tr w:rsidR="00A330E9" w:rsidRPr="00A330E9" w:rsidTr="00A330E9">
        <w:trPr>
          <w:trHeight w:val="324"/>
        </w:trPr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  <w:t>Experimental Condition</w:t>
            </w:r>
          </w:p>
        </w:tc>
        <w:tc>
          <w:tcPr>
            <w:tcW w:w="814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4F81BD" w:fill="4F81BD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  <w:t>initial OD 600 Readings</w:t>
            </w:r>
          </w:p>
        </w:tc>
        <w:tc>
          <w:tcPr>
            <w:tcW w:w="1067" w:type="pct"/>
            <w:gridSpan w:val="2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  <w:t>OD 600 Readings after 2hr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  <w:t>Averaged value</w:t>
            </w:r>
          </w:p>
        </w:tc>
        <w:tc>
          <w:tcPr>
            <w:tcW w:w="521" w:type="pct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A330E9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  <w:t>S.t.d</w:t>
            </w:r>
            <w:proofErr w:type="spellEnd"/>
          </w:p>
        </w:tc>
        <w:tc>
          <w:tcPr>
            <w:tcW w:w="542" w:type="pct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  <w:t>Normalized Value</w:t>
            </w:r>
          </w:p>
        </w:tc>
        <w:tc>
          <w:tcPr>
            <w:tcW w:w="557" w:type="pct"/>
            <w:tcBorders>
              <w:top w:val="nil"/>
              <w:left w:val="single" w:sz="4" w:space="0" w:color="FFFFFF"/>
              <w:bottom w:val="single" w:sz="12" w:space="0" w:color="FFFFFF"/>
              <w:right w:val="nil"/>
            </w:tcBorders>
            <w:shd w:val="clear" w:color="4F81BD" w:fill="4F81BD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A330E9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</w:rPr>
              <w:t>S.t.d</w:t>
            </w:r>
            <w:proofErr w:type="spellEnd"/>
          </w:p>
        </w:tc>
      </w:tr>
      <w:tr w:rsidR="00A330E9" w:rsidRPr="00A330E9" w:rsidTr="00A330E9">
        <w:trPr>
          <w:trHeight w:val="324"/>
        </w:trPr>
        <w:tc>
          <w:tcPr>
            <w:tcW w:w="884" w:type="pct"/>
            <w:tcBorders>
              <w:top w:val="single" w:sz="12" w:space="0" w:color="FFFFFF"/>
              <w:left w:val="nil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Sample no</w:t>
            </w:r>
          </w:p>
        </w:tc>
        <w:tc>
          <w:tcPr>
            <w:tcW w:w="814" w:type="pct"/>
            <w:tcBorders>
              <w:top w:val="single" w:sz="12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" w:type="pct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12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1" w:type="pct"/>
            <w:tcBorders>
              <w:top w:val="single" w:sz="12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" w:type="pct"/>
            <w:tcBorders>
              <w:top w:val="single" w:sz="12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330E9" w:rsidRPr="00A330E9" w:rsidTr="00A330E9">
        <w:trPr>
          <w:trHeight w:val="312"/>
        </w:trPr>
        <w:tc>
          <w:tcPr>
            <w:tcW w:w="884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Control</w:t>
            </w:r>
          </w:p>
        </w:tc>
        <w:tc>
          <w:tcPr>
            <w:tcW w:w="814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945167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562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0.149</w:t>
            </w:r>
          </w:p>
        </w:tc>
        <w:tc>
          <w:tcPr>
            <w:tcW w:w="505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0.158</w:t>
            </w:r>
          </w:p>
        </w:tc>
        <w:tc>
          <w:tcPr>
            <w:tcW w:w="616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0.154</w:t>
            </w:r>
          </w:p>
        </w:tc>
        <w:tc>
          <w:tcPr>
            <w:tcW w:w="521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0.00636</w:t>
            </w:r>
          </w:p>
        </w:tc>
        <w:tc>
          <w:tcPr>
            <w:tcW w:w="542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557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0.0415</w:t>
            </w:r>
          </w:p>
        </w:tc>
      </w:tr>
      <w:tr w:rsidR="00A330E9" w:rsidRPr="00A330E9" w:rsidTr="00A330E9">
        <w:trPr>
          <w:trHeight w:val="312"/>
        </w:trPr>
        <w:tc>
          <w:tcPr>
            <w:tcW w:w="884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sacB+1%Fru</w:t>
            </w:r>
          </w:p>
        </w:tc>
        <w:tc>
          <w:tcPr>
            <w:tcW w:w="814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945167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562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0.153</w:t>
            </w:r>
          </w:p>
        </w:tc>
        <w:tc>
          <w:tcPr>
            <w:tcW w:w="505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0.175</w:t>
            </w:r>
          </w:p>
        </w:tc>
        <w:tc>
          <w:tcPr>
            <w:tcW w:w="616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0.164</w:t>
            </w:r>
          </w:p>
        </w:tc>
        <w:tc>
          <w:tcPr>
            <w:tcW w:w="521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0.01556</w:t>
            </w:r>
          </w:p>
        </w:tc>
        <w:tc>
          <w:tcPr>
            <w:tcW w:w="542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1.068</w:t>
            </w:r>
          </w:p>
        </w:tc>
        <w:tc>
          <w:tcPr>
            <w:tcW w:w="557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0.1013</w:t>
            </w:r>
          </w:p>
        </w:tc>
      </w:tr>
      <w:tr w:rsidR="00A330E9" w:rsidRPr="00A330E9" w:rsidTr="00A330E9">
        <w:trPr>
          <w:trHeight w:val="312"/>
        </w:trPr>
        <w:tc>
          <w:tcPr>
            <w:tcW w:w="884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sacB+5%Fru</w:t>
            </w:r>
          </w:p>
        </w:tc>
        <w:tc>
          <w:tcPr>
            <w:tcW w:w="814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945167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562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0.157</w:t>
            </w:r>
          </w:p>
        </w:tc>
        <w:tc>
          <w:tcPr>
            <w:tcW w:w="505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0.151</w:t>
            </w:r>
          </w:p>
        </w:tc>
        <w:tc>
          <w:tcPr>
            <w:tcW w:w="616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0.154</w:t>
            </w:r>
          </w:p>
        </w:tc>
        <w:tc>
          <w:tcPr>
            <w:tcW w:w="521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0.00424</w:t>
            </w:r>
          </w:p>
        </w:tc>
        <w:tc>
          <w:tcPr>
            <w:tcW w:w="542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1.003</w:t>
            </w:r>
          </w:p>
        </w:tc>
        <w:tc>
          <w:tcPr>
            <w:tcW w:w="557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0.0276</w:t>
            </w:r>
          </w:p>
        </w:tc>
      </w:tr>
      <w:tr w:rsidR="00A330E9" w:rsidRPr="00A330E9" w:rsidTr="00A330E9">
        <w:trPr>
          <w:trHeight w:val="312"/>
        </w:trPr>
        <w:tc>
          <w:tcPr>
            <w:tcW w:w="884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sacB+10%Fru</w:t>
            </w:r>
          </w:p>
        </w:tc>
        <w:tc>
          <w:tcPr>
            <w:tcW w:w="814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945167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562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0.118</w:t>
            </w:r>
          </w:p>
        </w:tc>
        <w:tc>
          <w:tcPr>
            <w:tcW w:w="505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0.126</w:t>
            </w:r>
          </w:p>
        </w:tc>
        <w:tc>
          <w:tcPr>
            <w:tcW w:w="616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0.122</w:t>
            </w:r>
          </w:p>
        </w:tc>
        <w:tc>
          <w:tcPr>
            <w:tcW w:w="521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0.00566</w:t>
            </w:r>
          </w:p>
        </w:tc>
        <w:tc>
          <w:tcPr>
            <w:tcW w:w="542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0.795</w:t>
            </w:r>
          </w:p>
        </w:tc>
        <w:tc>
          <w:tcPr>
            <w:tcW w:w="557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0.0369</w:t>
            </w:r>
          </w:p>
        </w:tc>
      </w:tr>
      <w:tr w:rsidR="00A330E9" w:rsidRPr="00A330E9" w:rsidTr="00A330E9">
        <w:trPr>
          <w:trHeight w:val="312"/>
        </w:trPr>
        <w:tc>
          <w:tcPr>
            <w:tcW w:w="884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sacB+1%Glu</w:t>
            </w:r>
          </w:p>
        </w:tc>
        <w:tc>
          <w:tcPr>
            <w:tcW w:w="814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945167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562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0.173</w:t>
            </w:r>
          </w:p>
        </w:tc>
        <w:tc>
          <w:tcPr>
            <w:tcW w:w="505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0.187</w:t>
            </w:r>
          </w:p>
        </w:tc>
        <w:tc>
          <w:tcPr>
            <w:tcW w:w="616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0.180</w:t>
            </w:r>
          </w:p>
        </w:tc>
        <w:tc>
          <w:tcPr>
            <w:tcW w:w="521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0.00990</w:t>
            </w:r>
          </w:p>
        </w:tc>
        <w:tc>
          <w:tcPr>
            <w:tcW w:w="542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1.173</w:t>
            </w:r>
          </w:p>
        </w:tc>
        <w:tc>
          <w:tcPr>
            <w:tcW w:w="557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0.0645</w:t>
            </w:r>
          </w:p>
        </w:tc>
      </w:tr>
      <w:tr w:rsidR="00A330E9" w:rsidRPr="00A330E9" w:rsidTr="00A330E9">
        <w:trPr>
          <w:trHeight w:val="312"/>
        </w:trPr>
        <w:tc>
          <w:tcPr>
            <w:tcW w:w="884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sacB+5%Glu</w:t>
            </w:r>
          </w:p>
        </w:tc>
        <w:tc>
          <w:tcPr>
            <w:tcW w:w="814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945167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562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0.182</w:t>
            </w:r>
          </w:p>
        </w:tc>
        <w:tc>
          <w:tcPr>
            <w:tcW w:w="505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0.179</w:t>
            </w:r>
          </w:p>
        </w:tc>
        <w:tc>
          <w:tcPr>
            <w:tcW w:w="616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0.181</w:t>
            </w:r>
          </w:p>
        </w:tc>
        <w:tc>
          <w:tcPr>
            <w:tcW w:w="521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0.00212</w:t>
            </w:r>
          </w:p>
        </w:tc>
        <w:tc>
          <w:tcPr>
            <w:tcW w:w="542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1.176</w:t>
            </w:r>
          </w:p>
        </w:tc>
        <w:tc>
          <w:tcPr>
            <w:tcW w:w="557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0.0138</w:t>
            </w:r>
          </w:p>
        </w:tc>
      </w:tr>
      <w:tr w:rsidR="00A330E9" w:rsidRPr="00A330E9" w:rsidTr="00A330E9">
        <w:trPr>
          <w:trHeight w:val="312"/>
        </w:trPr>
        <w:tc>
          <w:tcPr>
            <w:tcW w:w="884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sacB+10%Glu</w:t>
            </w:r>
          </w:p>
        </w:tc>
        <w:tc>
          <w:tcPr>
            <w:tcW w:w="814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A330E9" w:rsidRPr="00A330E9" w:rsidRDefault="00945167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562" w:type="pct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0.132</w:t>
            </w:r>
          </w:p>
        </w:tc>
        <w:tc>
          <w:tcPr>
            <w:tcW w:w="505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0.147</w:t>
            </w:r>
          </w:p>
        </w:tc>
        <w:tc>
          <w:tcPr>
            <w:tcW w:w="616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0.140</w:t>
            </w:r>
          </w:p>
        </w:tc>
        <w:tc>
          <w:tcPr>
            <w:tcW w:w="521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0.01061</w:t>
            </w:r>
          </w:p>
        </w:tc>
        <w:tc>
          <w:tcPr>
            <w:tcW w:w="542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0.909</w:t>
            </w:r>
          </w:p>
        </w:tc>
        <w:tc>
          <w:tcPr>
            <w:tcW w:w="557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A330E9" w:rsidRPr="00A330E9" w:rsidRDefault="00A330E9" w:rsidP="00A330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330E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0.0691</w:t>
            </w:r>
          </w:p>
        </w:tc>
      </w:tr>
    </w:tbl>
    <w:p w:rsidR="00945167" w:rsidRPr="009C1843" w:rsidRDefault="00A330E9">
      <w:pPr>
        <w:rPr>
          <w:rFonts w:ascii="Times New Roman" w:hAnsi="Times New Roman" w:cs="Times New Roman"/>
          <w:sz w:val="20"/>
          <w:szCs w:val="20"/>
        </w:rPr>
      </w:pPr>
      <w:r w:rsidRPr="00A330E9">
        <w:rPr>
          <w:rFonts w:ascii="Times New Roman" w:hAnsi="Times New Roman" w:cs="Times New Roman"/>
          <w:b/>
          <w:sz w:val="20"/>
          <w:szCs w:val="20"/>
        </w:rPr>
        <w:t xml:space="preserve">Table 1. </w:t>
      </w:r>
      <w:r w:rsidR="00945167">
        <w:rPr>
          <w:rFonts w:ascii="Times New Roman" w:hAnsi="Times New Roman" w:cs="Times New Roman"/>
          <w:b/>
          <w:sz w:val="20"/>
          <w:szCs w:val="20"/>
        </w:rPr>
        <w:t>OD600 readings collected for the cell growth/</w:t>
      </w:r>
      <w:proofErr w:type="spellStart"/>
      <w:r w:rsidR="00945167">
        <w:rPr>
          <w:rFonts w:ascii="Times New Roman" w:hAnsi="Times New Roman" w:cs="Times New Roman"/>
          <w:b/>
          <w:sz w:val="20"/>
          <w:szCs w:val="20"/>
        </w:rPr>
        <w:t>sacB</w:t>
      </w:r>
      <w:proofErr w:type="spellEnd"/>
      <w:r w:rsidR="00945167">
        <w:rPr>
          <w:rFonts w:ascii="Times New Roman" w:hAnsi="Times New Roman" w:cs="Times New Roman"/>
          <w:b/>
          <w:sz w:val="20"/>
          <w:szCs w:val="20"/>
        </w:rPr>
        <w:t xml:space="preserve"> assay. </w:t>
      </w:r>
      <w:r w:rsidR="009C1843">
        <w:rPr>
          <w:rFonts w:ascii="Times New Roman" w:hAnsi="Times New Roman" w:cs="Times New Roman"/>
          <w:sz w:val="20"/>
          <w:szCs w:val="20"/>
        </w:rPr>
        <w:t>Cells are first grown to about 0.3 OD600 in fresh liquid culture, then 1 mL of each culture is transferred into an Eppendorf tube, centrifuged and the pellet is collected and then re-suspended in each treatment solution</w:t>
      </w:r>
      <w:r w:rsidR="009C18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</w:t>
      </w:r>
      <w:r w:rsidR="009C1843" w:rsidRPr="00A330E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9C18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Control is made by pellet </w:t>
      </w:r>
      <w:r w:rsidR="009C1843" w:rsidRPr="00A330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collected from 1 ml </w:t>
      </w:r>
      <w:proofErr w:type="spellStart"/>
      <w:r w:rsidR="009C1843" w:rsidRPr="00A330E9">
        <w:rPr>
          <w:rFonts w:ascii="Times New Roman" w:eastAsia="Times New Roman" w:hAnsi="Times New Roman" w:cs="Times New Roman"/>
          <w:color w:val="000000"/>
          <w:sz w:val="20"/>
          <w:szCs w:val="20"/>
        </w:rPr>
        <w:t>sacB</w:t>
      </w:r>
      <w:proofErr w:type="spellEnd"/>
      <w:r w:rsidR="009C1843" w:rsidRPr="00A330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liquid culture re</w:t>
      </w:r>
      <w:r w:rsidR="009C1843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="009C1843" w:rsidRPr="00A330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suspended in 1ml </w:t>
      </w:r>
      <w:proofErr w:type="spellStart"/>
      <w:r w:rsidR="009C1843">
        <w:rPr>
          <w:rFonts w:ascii="Times New Roman" w:eastAsia="Times New Roman" w:hAnsi="Times New Roman" w:cs="Times New Roman"/>
          <w:color w:val="000000"/>
          <w:sz w:val="20"/>
          <w:szCs w:val="20"/>
        </w:rPr>
        <w:t>miliQ</w:t>
      </w:r>
      <w:proofErr w:type="spellEnd"/>
      <w:r w:rsidR="009C1843" w:rsidRPr="00A330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water. Other samples are re</w:t>
      </w:r>
      <w:r w:rsidR="009C1843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="009C1843" w:rsidRPr="00A330E9">
        <w:rPr>
          <w:rFonts w:ascii="Times New Roman" w:eastAsia="Times New Roman" w:hAnsi="Times New Roman" w:cs="Times New Roman"/>
          <w:color w:val="000000"/>
          <w:sz w:val="20"/>
          <w:szCs w:val="20"/>
        </w:rPr>
        <w:t>suspended in sugar solutions of different concentration as noted.</w:t>
      </w:r>
      <w:r w:rsidR="009C18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After adding treatment solutions, OD 600 is collected from another extra duplicate.</w:t>
      </w:r>
    </w:p>
    <w:p w:rsidR="00A330E9" w:rsidRDefault="00A330E9"/>
    <w:p w:rsidR="00A330E9" w:rsidRDefault="00A330E9">
      <w:r>
        <w:rPr>
          <w:noProof/>
        </w:rPr>
        <w:drawing>
          <wp:inline distT="0" distB="0" distL="0" distR="0" wp14:anchorId="37EFE95E" wp14:editId="4FCEFB98">
            <wp:extent cx="5631180" cy="3131820"/>
            <wp:effectExtent l="0" t="0" r="7620" b="1143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330E9" w:rsidRPr="00A330E9" w:rsidRDefault="00A330E9" w:rsidP="00A330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330E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Figure 1. Normalized OD 600 Readings of </w:t>
      </w:r>
      <w:proofErr w:type="spellStart"/>
      <w:r w:rsidRPr="00A330E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sacB</w:t>
      </w:r>
      <w:proofErr w:type="spellEnd"/>
      <w:r w:rsidRPr="00A330E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-transformed culture w/ and w/o addition of Sugar after 2 Hours</w:t>
      </w:r>
      <w:r w:rsidR="009C18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. </w:t>
      </w:r>
      <w:r w:rsidRPr="00A330E9">
        <w:rPr>
          <w:rFonts w:ascii="Times New Roman" w:eastAsia="Times New Roman" w:hAnsi="Times New Roman" w:cs="Times New Roman"/>
          <w:color w:val="000000"/>
          <w:sz w:val="20"/>
          <w:szCs w:val="20"/>
        </w:rPr>
        <w:t>Error bars represent standar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 deviation calculated based on</w:t>
      </w:r>
      <w:r w:rsidRPr="00A330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duplicates. As we can see, high fructose concentration inhibits bacterial growth by at least 20 percent and the fructose is more effective than glucose. We need to note that the observed 20% inhibition is a minimal estimation because in the control, no nutrients is added while in the other samples sugars are added.      </w:t>
      </w:r>
    </w:p>
    <w:p w:rsidR="00A330E9" w:rsidRDefault="00A330E9"/>
    <w:p w:rsidR="00A330E9" w:rsidRDefault="00A330E9"/>
    <w:p w:rsidR="00A330E9" w:rsidRDefault="00945167">
      <w:r>
        <w:rPr>
          <w:noProof/>
        </w:rPr>
        <w:drawing>
          <wp:inline distT="0" distB="0" distL="0" distR="0" wp14:anchorId="227671E8" wp14:editId="18EE2DD9">
            <wp:extent cx="6065520" cy="3200400"/>
            <wp:effectExtent l="0" t="0" r="1143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330E9" w:rsidRPr="00945167" w:rsidRDefault="00A330E9" w:rsidP="00A330E9">
      <w:pPr>
        <w:rPr>
          <w:rFonts w:ascii="Times New Roman" w:hAnsi="Times New Roman" w:cs="Times New Roman"/>
          <w:bCs/>
          <w:sz w:val="20"/>
          <w:szCs w:val="20"/>
        </w:rPr>
      </w:pPr>
      <w:r w:rsidRPr="00A330E9">
        <w:rPr>
          <w:rFonts w:ascii="Times New Roman" w:hAnsi="Times New Roman" w:cs="Times New Roman"/>
          <w:b/>
          <w:sz w:val="20"/>
          <w:szCs w:val="20"/>
        </w:rPr>
        <w:t xml:space="preserve">Figure 2. </w:t>
      </w:r>
      <w:r w:rsidRPr="00A330E9">
        <w:rPr>
          <w:rFonts w:ascii="Times New Roman" w:hAnsi="Times New Roman" w:cs="Times New Roman"/>
          <w:b/>
          <w:bCs/>
          <w:sz w:val="20"/>
          <w:szCs w:val="20"/>
        </w:rPr>
        <w:t>Change in OD 600 Reading over 2 hours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945167" w:rsidRPr="00945167">
        <w:rPr>
          <w:rFonts w:ascii="Times New Roman" w:hAnsi="Times New Roman" w:cs="Times New Roman"/>
          <w:bCs/>
          <w:sz w:val="20"/>
          <w:szCs w:val="20"/>
        </w:rPr>
        <w:t xml:space="preserve">We can see more clearly from the trends that 10% fructose has the most significant effect on inhibition of growth. It would be ideal if we have time to do more trials and determine the accumulation of </w:t>
      </w:r>
      <w:proofErr w:type="spellStart"/>
      <w:r w:rsidR="00945167" w:rsidRPr="00945167">
        <w:rPr>
          <w:rFonts w:ascii="Times New Roman" w:hAnsi="Times New Roman" w:cs="Times New Roman"/>
          <w:bCs/>
          <w:sz w:val="20"/>
          <w:szCs w:val="20"/>
        </w:rPr>
        <w:t>levan</w:t>
      </w:r>
      <w:proofErr w:type="spellEnd"/>
      <w:r w:rsidR="00945167" w:rsidRPr="00945167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:rsidR="00A330E9" w:rsidRDefault="00A330E9"/>
    <w:p w:rsidR="00A330E9" w:rsidRDefault="00A330E9"/>
    <w:sectPr w:rsidR="00A330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0E9"/>
    <w:rsid w:val="00215BDE"/>
    <w:rsid w:val="002B23FC"/>
    <w:rsid w:val="00945167"/>
    <w:rsid w:val="009C1843"/>
    <w:rsid w:val="00A330E9"/>
    <w:rsid w:val="00F9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FFE023-0CB9-493F-92E5-4AA1723A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3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ssac%20Li\Downloads\sacB%20assa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ssac%20Li\Downloads\sacB%20assa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Normalized</a:t>
            </a:r>
            <a:r>
              <a:rPr lang="en-US" sz="1200" baseline="0"/>
              <a:t> </a:t>
            </a:r>
            <a:r>
              <a:rPr lang="en-US" sz="1200"/>
              <a:t>OD</a:t>
            </a:r>
            <a:r>
              <a:rPr lang="en-US" sz="1200" baseline="0"/>
              <a:t> 600 Readings of </a:t>
            </a:r>
            <a:r>
              <a:rPr lang="en-US" sz="1200"/>
              <a:t>sacB-transformed culture w/</a:t>
            </a:r>
            <a:r>
              <a:rPr lang="en-US" sz="1200" baseline="0"/>
              <a:t> and w/o addition of Sugar After 2 Hours</a:t>
            </a:r>
            <a:endParaRPr lang="en-US" sz="1200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'[sacB assay.xlsx]Sheet1'!$B$4:$B$10</c:f>
              <c:strCache>
                <c:ptCount val="7"/>
                <c:pt idx="0">
                  <c:v>Control</c:v>
                </c:pt>
                <c:pt idx="1">
                  <c:v>sacB+1%Fructose</c:v>
                </c:pt>
                <c:pt idx="2">
                  <c:v>sacB+5%Fructose</c:v>
                </c:pt>
                <c:pt idx="3">
                  <c:v>sacB+10%Fructose</c:v>
                </c:pt>
                <c:pt idx="4">
                  <c:v>sacB+1%Glucose</c:v>
                </c:pt>
                <c:pt idx="5">
                  <c:v>sacB+5%Glucose</c:v>
                </c:pt>
                <c:pt idx="6">
                  <c:v>sacB+10%Glucose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'[sacB assay.xlsx]Sheet1'!$I$4:$I$10</c:f>
                <c:numCache>
                  <c:formatCode>General</c:formatCode>
                  <c:ptCount val="7"/>
                  <c:pt idx="0">
                    <c:v>4.145902951582367E-2</c:v>
                  </c:pt>
                  <c:pt idx="1">
                    <c:v>0.10134429437201328</c:v>
                  </c:pt>
                  <c:pt idx="2">
                    <c:v>2.7639353010549116E-2</c:v>
                  </c:pt>
                  <c:pt idx="3">
                    <c:v>3.6852470680732149E-2</c:v>
                  </c:pt>
                  <c:pt idx="4">
                    <c:v>6.4491823691281258E-2</c:v>
                  </c:pt>
                  <c:pt idx="5">
                    <c:v>1.3819676505274558E-2</c:v>
                  </c:pt>
                  <c:pt idx="6">
                    <c:v>6.9098382526372654E-2</c:v>
                  </c:pt>
                </c:numCache>
              </c:numRef>
            </c:plus>
            <c:minus>
              <c:numRef>
                <c:f>'[sacB assay.xlsx]Sheet1'!$I$4:$I$10</c:f>
                <c:numCache>
                  <c:formatCode>General</c:formatCode>
                  <c:ptCount val="7"/>
                  <c:pt idx="0">
                    <c:v>4.145902951582367E-2</c:v>
                  </c:pt>
                  <c:pt idx="1">
                    <c:v>0.10134429437201328</c:v>
                  </c:pt>
                  <c:pt idx="2">
                    <c:v>2.7639353010549116E-2</c:v>
                  </c:pt>
                  <c:pt idx="3">
                    <c:v>3.6852470680732149E-2</c:v>
                  </c:pt>
                  <c:pt idx="4">
                    <c:v>6.4491823691281258E-2</c:v>
                  </c:pt>
                  <c:pt idx="5">
                    <c:v>1.3819676505274558E-2</c:v>
                  </c:pt>
                  <c:pt idx="6">
                    <c:v>6.9098382526372654E-2</c:v>
                  </c:pt>
                </c:numCache>
              </c:numRef>
            </c:minus>
          </c:errBars>
          <c:cat>
            <c:strRef>
              <c:f>'[sacB assay.xlsx]Sheet1'!$B$4:$B$10</c:f>
              <c:strCache>
                <c:ptCount val="7"/>
                <c:pt idx="0">
                  <c:v>Control</c:v>
                </c:pt>
                <c:pt idx="1">
                  <c:v>sacB+1%Fructose</c:v>
                </c:pt>
                <c:pt idx="2">
                  <c:v>sacB+5%Fructose</c:v>
                </c:pt>
                <c:pt idx="3">
                  <c:v>sacB+10%Fructose</c:v>
                </c:pt>
                <c:pt idx="4">
                  <c:v>sacB+1%Glucose</c:v>
                </c:pt>
                <c:pt idx="5">
                  <c:v>sacB+5%Glucose</c:v>
                </c:pt>
                <c:pt idx="6">
                  <c:v>sacB+10%Glucose</c:v>
                </c:pt>
              </c:strCache>
            </c:strRef>
          </c:cat>
          <c:val>
            <c:numRef>
              <c:f>'[sacB assay.xlsx]Sheet1'!$H$4:$H$10</c:f>
              <c:numCache>
                <c:formatCode>0.000</c:formatCode>
                <c:ptCount val="7"/>
                <c:pt idx="0">
                  <c:v>1</c:v>
                </c:pt>
                <c:pt idx="1">
                  <c:v>1.0684039087947881</c:v>
                </c:pt>
                <c:pt idx="2">
                  <c:v>1.003257328990228</c:v>
                </c:pt>
                <c:pt idx="3">
                  <c:v>0.7947882736156352</c:v>
                </c:pt>
                <c:pt idx="4">
                  <c:v>1.1726384364820848</c:v>
                </c:pt>
                <c:pt idx="5">
                  <c:v>1.1758957654723128</c:v>
                </c:pt>
                <c:pt idx="6">
                  <c:v>0.90879478827361571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0038656"/>
        <c:axId val="640039048"/>
      </c:barChart>
      <c:catAx>
        <c:axId val="6400386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40039048"/>
        <c:crosses val="autoZero"/>
        <c:auto val="1"/>
        <c:lblAlgn val="ctr"/>
        <c:lblOffset val="100"/>
        <c:noMultiLvlLbl val="0"/>
      </c:catAx>
      <c:valAx>
        <c:axId val="64003904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sz="1200"/>
                  <a:t>OD 600</a:t>
                </a:r>
              </a:p>
            </c:rich>
          </c:tx>
          <c:overlay val="0"/>
        </c:title>
        <c:numFmt formatCode="0.000" sourceLinked="1"/>
        <c:majorTickMark val="out"/>
        <c:minorTickMark val="none"/>
        <c:tickLblPos val="nextTo"/>
        <c:crossAx val="6400386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Change in OD 600 Reading over 2 hours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32124543883234"/>
          <c:y val="4.0498442367601202E-2"/>
          <c:w val="0.62253408872671401"/>
          <c:h val="0.80888905241984899"/>
        </c:manualLayout>
      </c:layout>
      <c:lineChart>
        <c:grouping val="standard"/>
        <c:varyColors val="0"/>
        <c:ser>
          <c:idx val="0"/>
          <c:order val="0"/>
          <c:tx>
            <c:strRef>
              <c:f>Sheet1!$B$5</c:f>
              <c:strCache>
                <c:ptCount val="1"/>
                <c:pt idx="0">
                  <c:v>sacB+1%Fructose</c:v>
                </c:pt>
              </c:strCache>
            </c:strRef>
          </c:tx>
          <c:marker>
            <c:symbol val="none"/>
          </c:marker>
          <c:cat>
            <c:strLit>
              <c:ptCount val="2"/>
              <c:pt idx="0">
                <c:v>t0</c:v>
              </c:pt>
              <c:pt idx="1">
                <c:v>t1</c:v>
              </c:pt>
            </c:strLit>
          </c:cat>
          <c:val>
            <c:numRef>
              <c:f>(Sheet1!$C$5,Sheet1!$F$5)</c:f>
              <c:numCache>
                <c:formatCode>0.000</c:formatCode>
                <c:ptCount val="2"/>
                <c:pt idx="0" formatCode="General">
                  <c:v>0.14000000000000001</c:v>
                </c:pt>
                <c:pt idx="1">
                  <c:v>0.16399999999999998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Sheet1!$B$6</c:f>
              <c:strCache>
                <c:ptCount val="1"/>
                <c:pt idx="0">
                  <c:v>sacB+5%Fructose</c:v>
                </c:pt>
              </c:strCache>
            </c:strRef>
          </c:tx>
          <c:marker>
            <c:symbol val="none"/>
          </c:marker>
          <c:cat>
            <c:strLit>
              <c:ptCount val="2"/>
              <c:pt idx="0">
                <c:v>t0</c:v>
              </c:pt>
              <c:pt idx="1">
                <c:v>t1</c:v>
              </c:pt>
            </c:strLit>
          </c:cat>
          <c:val>
            <c:numRef>
              <c:f>(Sheet1!$C$6,Sheet1!$F$6)</c:f>
              <c:numCache>
                <c:formatCode>0.000</c:formatCode>
                <c:ptCount val="2"/>
                <c:pt idx="0" formatCode="General">
                  <c:v>0.14000000000000001</c:v>
                </c:pt>
                <c:pt idx="1">
                  <c:v>0.154</c:v>
                </c:pt>
              </c:numCache>
            </c:numRef>
          </c:val>
          <c:smooth val="0"/>
        </c:ser>
        <c:ser>
          <c:idx val="3"/>
          <c:order val="2"/>
          <c:tx>
            <c:strRef>
              <c:f>Sheet1!$B$7</c:f>
              <c:strCache>
                <c:ptCount val="1"/>
                <c:pt idx="0">
                  <c:v>sacB+10%Fructose</c:v>
                </c:pt>
              </c:strCache>
            </c:strRef>
          </c:tx>
          <c:marker>
            <c:symbol val="none"/>
          </c:marker>
          <c:cat>
            <c:strLit>
              <c:ptCount val="2"/>
              <c:pt idx="0">
                <c:v>t0</c:v>
              </c:pt>
              <c:pt idx="1">
                <c:v>t1</c:v>
              </c:pt>
            </c:strLit>
          </c:cat>
          <c:val>
            <c:numRef>
              <c:f>(Sheet1!$C$7,Sheet1!$F$7)</c:f>
              <c:numCache>
                <c:formatCode>0.000</c:formatCode>
                <c:ptCount val="2"/>
                <c:pt idx="0" formatCode="General">
                  <c:v>0.14000000000000001</c:v>
                </c:pt>
                <c:pt idx="1">
                  <c:v>0.122</c:v>
                </c:pt>
              </c:numCache>
            </c:numRef>
          </c:val>
          <c:smooth val="0"/>
        </c:ser>
        <c:ser>
          <c:idx val="4"/>
          <c:order val="3"/>
          <c:tx>
            <c:strRef>
              <c:f>Sheet1!$B$8</c:f>
              <c:strCache>
                <c:ptCount val="1"/>
                <c:pt idx="0">
                  <c:v>sacB+1%Glucose</c:v>
                </c:pt>
              </c:strCache>
            </c:strRef>
          </c:tx>
          <c:marker>
            <c:symbol val="none"/>
          </c:marker>
          <c:cat>
            <c:strLit>
              <c:ptCount val="2"/>
              <c:pt idx="0">
                <c:v>t0</c:v>
              </c:pt>
              <c:pt idx="1">
                <c:v>t1</c:v>
              </c:pt>
            </c:strLit>
          </c:cat>
          <c:val>
            <c:numRef>
              <c:f>(Sheet1!$C$8,Sheet1!$F$8)</c:f>
              <c:numCache>
                <c:formatCode>0.000</c:formatCode>
                <c:ptCount val="2"/>
                <c:pt idx="0" formatCode="General">
                  <c:v>0.14000000000000001</c:v>
                </c:pt>
                <c:pt idx="1">
                  <c:v>0.18</c:v>
                </c:pt>
              </c:numCache>
            </c:numRef>
          </c:val>
          <c:smooth val="0"/>
        </c:ser>
        <c:ser>
          <c:idx val="5"/>
          <c:order val="4"/>
          <c:tx>
            <c:strRef>
              <c:f>Sheet1!$B$9</c:f>
              <c:strCache>
                <c:ptCount val="1"/>
                <c:pt idx="0">
                  <c:v>sacB+5%Glucose</c:v>
                </c:pt>
              </c:strCache>
            </c:strRef>
          </c:tx>
          <c:marker>
            <c:symbol val="none"/>
          </c:marker>
          <c:cat>
            <c:strLit>
              <c:ptCount val="2"/>
              <c:pt idx="0">
                <c:v>t0</c:v>
              </c:pt>
              <c:pt idx="1">
                <c:v>t1</c:v>
              </c:pt>
            </c:strLit>
          </c:cat>
          <c:val>
            <c:numRef>
              <c:f>(Sheet1!$C$9,Sheet1!$F$9)</c:f>
              <c:numCache>
                <c:formatCode>0.000</c:formatCode>
                <c:ptCount val="2"/>
                <c:pt idx="0" formatCode="General">
                  <c:v>0.14000000000000001</c:v>
                </c:pt>
                <c:pt idx="1">
                  <c:v>0.18049999999999999</c:v>
                </c:pt>
              </c:numCache>
            </c:numRef>
          </c:val>
          <c:smooth val="0"/>
        </c:ser>
        <c:ser>
          <c:idx val="6"/>
          <c:order val="5"/>
          <c:tx>
            <c:strRef>
              <c:f>Sheet1!$B$10</c:f>
              <c:strCache>
                <c:ptCount val="1"/>
                <c:pt idx="0">
                  <c:v>sacB+10%Glucose</c:v>
                </c:pt>
              </c:strCache>
            </c:strRef>
          </c:tx>
          <c:marker>
            <c:symbol val="none"/>
          </c:marker>
          <c:cat>
            <c:strLit>
              <c:ptCount val="2"/>
              <c:pt idx="0">
                <c:v>t0</c:v>
              </c:pt>
              <c:pt idx="1">
                <c:v>t1</c:v>
              </c:pt>
            </c:strLit>
          </c:cat>
          <c:val>
            <c:numRef>
              <c:f>(Sheet1!$C$10,Sheet1!$F$10)</c:f>
              <c:numCache>
                <c:formatCode>0.000</c:formatCode>
                <c:ptCount val="2"/>
                <c:pt idx="0" formatCode="General">
                  <c:v>0.14000000000000001</c:v>
                </c:pt>
                <c:pt idx="1">
                  <c:v>0.13950000000000001</c:v>
                </c:pt>
              </c:numCache>
            </c:numRef>
          </c:val>
          <c:smooth val="0"/>
        </c:ser>
        <c:ser>
          <c:idx val="1"/>
          <c:order val="6"/>
          <c:tx>
            <c:strRef>
              <c:f>Sheet1!$B$4</c:f>
              <c:strCache>
                <c:ptCount val="1"/>
                <c:pt idx="0">
                  <c:v>Control</c:v>
                </c:pt>
              </c:strCache>
            </c:strRef>
          </c:tx>
          <c:marker>
            <c:symbol val="none"/>
          </c:marker>
          <c:cat>
            <c:strLit>
              <c:ptCount val="2"/>
              <c:pt idx="0">
                <c:v>t0</c:v>
              </c:pt>
              <c:pt idx="1">
                <c:v>t1</c:v>
              </c:pt>
            </c:strLit>
          </c:cat>
          <c:val>
            <c:numRef>
              <c:f>(Sheet1!$C$4,Sheet1!$F$4)</c:f>
              <c:numCache>
                <c:formatCode>0.000</c:formatCode>
                <c:ptCount val="2"/>
                <c:pt idx="0" formatCode="General">
                  <c:v>0.15</c:v>
                </c:pt>
                <c:pt idx="1">
                  <c:v>0.1535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38633856"/>
        <c:axId val="634790488"/>
      </c:lineChart>
      <c:catAx>
        <c:axId val="6386338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Points</a:t>
                </a:r>
              </a:p>
            </c:rich>
          </c:tx>
          <c:overlay val="0"/>
        </c:title>
        <c:numFmt formatCode="General" sourceLinked="0"/>
        <c:majorTickMark val="out"/>
        <c:minorTickMark val="none"/>
        <c:tickLblPos val="nextTo"/>
        <c:crossAx val="634790488"/>
        <c:crosses val="autoZero"/>
        <c:auto val="1"/>
        <c:lblAlgn val="ctr"/>
        <c:lblOffset val="100"/>
        <c:noMultiLvlLbl val="0"/>
      </c:catAx>
      <c:valAx>
        <c:axId val="634790488"/>
        <c:scaling>
          <c:orientation val="minMax"/>
          <c:min val="0.1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OD 600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6386338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Issac Li</dc:creator>
  <cp:keywords/>
  <dc:description/>
  <cp:lastModifiedBy>Issac Li</cp:lastModifiedBy>
  <cp:revision>4</cp:revision>
  <dcterms:created xsi:type="dcterms:W3CDTF">2015-09-18T10:07:00Z</dcterms:created>
  <dcterms:modified xsi:type="dcterms:W3CDTF">2015-09-18T16:14:00Z</dcterms:modified>
</cp:coreProperties>
</file>